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C210D" w14:textId="77777777" w:rsidR="005F0B40" w:rsidRDefault="005F0B40" w:rsidP="005F0B40">
      <w:pPr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14:paraId="0F9CD747" w14:textId="7B985558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1E0F0662" w14:textId="4174A95B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3391D409" w14:textId="7C803E26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5EDD32AF" w14:textId="66EE5F94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61D5A235" w14:textId="5BBCA53E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6F1C1B21" w14:textId="2449B880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3B37D58D" w14:textId="68084DE6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21A15BEE" w14:textId="4650781A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181C5198" w14:textId="1172E706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00158A81" w14:textId="556F289D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24760041" w14:textId="5DF49055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7CEC3A60" w14:textId="0BFDAF72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1E4066FB" w14:textId="27BB785D" w:rsidR="006926BF" w:rsidRDefault="006926BF" w:rsidP="005F0B40">
      <w:pPr>
        <w:spacing w:after="240" w:line="360" w:lineRule="auto"/>
        <w:rPr>
          <w:sz w:val="24"/>
          <w:szCs w:val="24"/>
        </w:rPr>
      </w:pPr>
    </w:p>
    <w:p w14:paraId="5E053EB5" w14:textId="0A438511" w:rsidR="006926BF" w:rsidRDefault="006926BF" w:rsidP="005F0B40">
      <w:pPr>
        <w:spacing w:after="240" w:line="360" w:lineRule="auto"/>
        <w:rPr>
          <w:sz w:val="24"/>
          <w:szCs w:val="24"/>
        </w:rPr>
      </w:pPr>
    </w:p>
    <w:p w14:paraId="5B549273" w14:textId="77777777" w:rsidR="006926BF" w:rsidRDefault="006926BF" w:rsidP="005F0B40">
      <w:pPr>
        <w:spacing w:after="240" w:line="360" w:lineRule="auto"/>
        <w:rPr>
          <w:sz w:val="24"/>
          <w:szCs w:val="24"/>
        </w:rPr>
      </w:pPr>
    </w:p>
    <w:p w14:paraId="43711B15" w14:textId="6528DDFA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6BD8A87E" w14:textId="71C4E075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28E3DDEB" w14:textId="48C54C20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5406339A" w14:textId="0CF67BD5" w:rsidR="005F0B40" w:rsidRDefault="005F0B40" w:rsidP="005F0B40">
      <w:pPr>
        <w:spacing w:after="240" w:line="360" w:lineRule="auto"/>
        <w:rPr>
          <w:sz w:val="24"/>
          <w:szCs w:val="24"/>
        </w:rPr>
      </w:pPr>
    </w:p>
    <w:p w14:paraId="66F94888" w14:textId="1AD8156C" w:rsidR="005F0B40" w:rsidRPr="005F0B40" w:rsidRDefault="005F0B40" w:rsidP="005F0B40">
      <w:pPr>
        <w:spacing w:after="240" w:line="360" w:lineRule="auto"/>
        <w:rPr>
          <w:b/>
          <w:bCs/>
          <w:sz w:val="24"/>
          <w:szCs w:val="24"/>
        </w:rPr>
      </w:pPr>
      <w:r w:rsidRPr="005F0B40">
        <w:rPr>
          <w:b/>
          <w:bCs/>
          <w:sz w:val="24"/>
          <w:szCs w:val="24"/>
        </w:rPr>
        <w:lastRenderedPageBreak/>
        <w:t>T</w:t>
      </w:r>
      <w:r w:rsidR="00224C8C">
        <w:rPr>
          <w:b/>
          <w:bCs/>
          <w:sz w:val="24"/>
          <w:szCs w:val="24"/>
        </w:rPr>
        <w:t xml:space="preserve">ABLE </w:t>
      </w:r>
      <w:r w:rsidRPr="005F0B40">
        <w:rPr>
          <w:b/>
          <w:bCs/>
          <w:sz w:val="24"/>
          <w:szCs w:val="24"/>
        </w:rPr>
        <w:t xml:space="preserve">3 </w:t>
      </w:r>
      <w:r w:rsidRPr="005F0B40">
        <w:rPr>
          <w:sz w:val="24"/>
          <w:szCs w:val="24"/>
        </w:rPr>
        <w:t>Overview of the characteristics of SARS-CoV2 positive patients</w:t>
      </w:r>
    </w:p>
    <w:tbl>
      <w:tblPr>
        <w:tblpPr w:leftFromText="141" w:rightFromText="141" w:horzAnchor="margin" w:tblpXSpec="center" w:tblpY="830"/>
        <w:tblW w:w="10275" w:type="dxa"/>
        <w:tblLayout w:type="fixed"/>
        <w:tblLook w:val="0400" w:firstRow="0" w:lastRow="0" w:firstColumn="0" w:lastColumn="0" w:noHBand="0" w:noVBand="1"/>
      </w:tblPr>
      <w:tblGrid>
        <w:gridCol w:w="600"/>
        <w:gridCol w:w="750"/>
        <w:gridCol w:w="1350"/>
        <w:gridCol w:w="1335"/>
        <w:gridCol w:w="840"/>
        <w:gridCol w:w="1785"/>
        <w:gridCol w:w="1095"/>
        <w:gridCol w:w="1185"/>
        <w:gridCol w:w="1335"/>
      </w:tblGrid>
      <w:tr w:rsidR="005F0B40" w:rsidRPr="00AA0D6E" w14:paraId="1C3FB3FD" w14:textId="77777777" w:rsidTr="005F0B40">
        <w:trPr>
          <w:trHeight w:val="995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7379" w14:textId="5F7F59BC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Px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990A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Sex/</w:t>
            </w:r>
          </w:p>
          <w:p w14:paraId="3B7FD44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Age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06231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Diagnosis</w:t>
            </w:r>
          </w:p>
          <w:p w14:paraId="53C3D1E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Chemotherapy 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9996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Symptoms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E437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 xml:space="preserve">Severity 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EA6D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202124"/>
                <w:sz w:val="18"/>
                <w:szCs w:val="18"/>
              </w:rPr>
              <w:t>Treatment</w:t>
            </w:r>
          </w:p>
          <w:p w14:paraId="1D63369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202124"/>
                <w:sz w:val="18"/>
                <w:szCs w:val="18"/>
              </w:rPr>
              <w:t>outpatient/inpatient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1DFFA" w14:textId="77777777" w:rsidR="005F0B40" w:rsidRPr="00AA0D6E" w:rsidRDefault="005F0B40" w:rsidP="005F0B40">
            <w:pPr>
              <w:spacing w:after="0" w:line="360" w:lineRule="auto"/>
              <w:rPr>
                <w:b/>
                <w:color w:val="1C1D1E"/>
                <w:sz w:val="18"/>
                <w:szCs w:val="18"/>
              </w:rPr>
            </w:pPr>
            <w:r w:rsidRPr="00AA0D6E">
              <w:rPr>
                <w:b/>
                <w:color w:val="1C1D1E"/>
                <w:sz w:val="18"/>
                <w:szCs w:val="18"/>
              </w:rPr>
              <w:t>Interruption chemotherapy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A383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1C1D1E"/>
                <w:sz w:val="18"/>
                <w:szCs w:val="18"/>
              </w:rPr>
              <w:t>Supplemental oxygen/ critical care.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C3B6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1C1D1E"/>
                <w:sz w:val="18"/>
                <w:szCs w:val="18"/>
              </w:rPr>
              <w:t>Outcome</w:t>
            </w:r>
          </w:p>
          <w:p w14:paraId="767FB495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</w:p>
        </w:tc>
      </w:tr>
      <w:tr w:rsidR="005F0B40" w:rsidRPr="00AA0D6E" w14:paraId="1C6189E8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8AE2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CEAD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F/6y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97B6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SR</w:t>
            </w:r>
          </w:p>
          <w:p w14:paraId="037F83E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Interim</w:t>
            </w:r>
          </w:p>
          <w:p w14:paraId="4DF3B67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CD27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cough, rhinorrhea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419F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6068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5606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036D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3E33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1BCFCE09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4EB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911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M/5y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4C0F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relapse</w:t>
            </w:r>
          </w:p>
          <w:p w14:paraId="61DB2C0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2nd line therapy (TACL)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5DFA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cough, tachypnea, pneumonia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1662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Moderate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8BC4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Inpatient, neutropenic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B24D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4 weeks (persistent symptoms)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219E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8E17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Dead due to progression disease.</w:t>
            </w:r>
          </w:p>
        </w:tc>
      </w:tr>
      <w:tr w:rsidR="005F0B40" w:rsidRPr="00AA0D6E" w14:paraId="5AF93CA8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FDD5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B945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M/10m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7CFB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HR</w:t>
            </w:r>
          </w:p>
          <w:p w14:paraId="6FE852C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Consolidation (</w:t>
            </w:r>
            <w:proofErr w:type="spellStart"/>
            <w:r w:rsidRPr="00AA0D6E">
              <w:rPr>
                <w:sz w:val="18"/>
                <w:szCs w:val="18"/>
              </w:rPr>
              <w:t>Interfant</w:t>
            </w:r>
            <w:proofErr w:type="spellEnd"/>
            <w:r w:rsidRPr="00AA0D6E">
              <w:rPr>
                <w:sz w:val="18"/>
                <w:szCs w:val="18"/>
              </w:rPr>
              <w:t xml:space="preserve"> 99)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D92E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 xml:space="preserve">Fever, </w:t>
            </w:r>
            <w:proofErr w:type="spellStart"/>
            <w:r w:rsidRPr="00AA0D6E">
              <w:rPr>
                <w:sz w:val="18"/>
                <w:szCs w:val="18"/>
              </w:rPr>
              <w:t>coaugh</w:t>
            </w:r>
            <w:proofErr w:type="spellEnd"/>
            <w:r w:rsidRPr="00AA0D6E">
              <w:rPr>
                <w:sz w:val="18"/>
                <w:szCs w:val="18"/>
              </w:rPr>
              <w:t xml:space="preserve">, </w:t>
            </w:r>
            <w:proofErr w:type="gramStart"/>
            <w:r w:rsidRPr="00AA0D6E">
              <w:rPr>
                <w:sz w:val="18"/>
                <w:szCs w:val="18"/>
              </w:rPr>
              <w:t>rhinorrhea,  tachypnea</w:t>
            </w:r>
            <w:proofErr w:type="gramEnd"/>
            <w:r w:rsidRPr="00AA0D6E">
              <w:rPr>
                <w:sz w:val="18"/>
                <w:szCs w:val="18"/>
              </w:rPr>
              <w:t>, pneumonia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ABC7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Moderate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CA1F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EECF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6280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9B1D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HSCT / No late sequelae</w:t>
            </w:r>
          </w:p>
        </w:tc>
      </w:tr>
      <w:tr w:rsidR="005F0B40" w:rsidRPr="00AA0D6E" w14:paraId="6E26BB3F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8DCE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FB55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M/2y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D2E5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HR</w:t>
            </w:r>
          </w:p>
          <w:p w14:paraId="77A68D2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At ALL diagnosis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0EB3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Fever/pneumonia/PIMS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BF6F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Critical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F449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Inpatient,</w:t>
            </w:r>
          </w:p>
          <w:p w14:paraId="0C87384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neutropenic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723C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 (Capizzi protocol)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492A2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PICU / IMV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A4F0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Late sequelae hypertension</w:t>
            </w:r>
          </w:p>
        </w:tc>
      </w:tr>
      <w:tr w:rsidR="005F0B40" w:rsidRPr="00AA0D6E" w14:paraId="4E5220F8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A5BD1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14B8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M/10y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C25E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Ph+</w:t>
            </w:r>
          </w:p>
          <w:p w14:paraId="33570C4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proofErr w:type="spellStart"/>
            <w:r w:rsidRPr="00AA0D6E">
              <w:rPr>
                <w:sz w:val="18"/>
                <w:szCs w:val="18"/>
              </w:rPr>
              <w:t>Paliative</w:t>
            </w:r>
            <w:proofErr w:type="spellEnd"/>
            <w:r w:rsidRPr="00AA0D6E">
              <w:rPr>
                <w:sz w:val="18"/>
                <w:szCs w:val="18"/>
              </w:rPr>
              <w:t xml:space="preserve"> care / relapse post HSCT day +90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EAEE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cough, pneumonia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9773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Critical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0416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97842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Palliative care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7818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PICU / NIV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FD95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Dead</w:t>
            </w:r>
          </w:p>
        </w:tc>
      </w:tr>
      <w:tr w:rsidR="005F0B40" w:rsidRPr="00AA0D6E" w14:paraId="4B7D616E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7AAD4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14D9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M/4y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AC47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HR</w:t>
            </w:r>
          </w:p>
          <w:p w14:paraId="0E8FF9E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Consolidation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3B3C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 / pneumonia/PIMS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448A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Severe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448C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985E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41B22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SFM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1C41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Late sequelae hypertension</w:t>
            </w:r>
          </w:p>
        </w:tc>
      </w:tr>
      <w:tr w:rsidR="005F0B40" w:rsidRPr="00AA0D6E" w14:paraId="23169BFA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8B29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A615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F/5y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4F7F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HR</w:t>
            </w:r>
          </w:p>
          <w:p w14:paraId="7FBA4CE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2925D36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CC06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rhinorrhea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E3E6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FEF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0D03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1F985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E4E1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3892050A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9492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27B35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F/7y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D75C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HR</w:t>
            </w:r>
          </w:p>
          <w:p w14:paraId="4A2B03E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6F41240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1324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 xml:space="preserve">Cough, rhinorrhea, </w:t>
            </w:r>
            <w:proofErr w:type="spellStart"/>
            <w:r w:rsidRPr="00AA0D6E">
              <w:rPr>
                <w:sz w:val="18"/>
                <w:szCs w:val="18"/>
              </w:rPr>
              <w:t>concjunctivitis</w:t>
            </w:r>
            <w:proofErr w:type="spellEnd"/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3D90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3465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8BF9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9CBF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33FC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Relapse</w:t>
            </w:r>
          </w:p>
        </w:tc>
      </w:tr>
      <w:tr w:rsidR="005F0B40" w:rsidRPr="00AA0D6E" w14:paraId="63BD31A5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82B5F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4B415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M/4y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D319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SR</w:t>
            </w:r>
          </w:p>
          <w:p w14:paraId="34E35A6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110FC2E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545E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cough, tachypnea, pneumonia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77FE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Moderate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31B6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F581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37F7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SFM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DBD8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387BFE25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670F6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88E65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M/2y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B8A7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HR</w:t>
            </w:r>
          </w:p>
          <w:p w14:paraId="5BCACB0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HSCT day +6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C557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diarrhea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7825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0CBE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</w:t>
            </w:r>
          </w:p>
          <w:p w14:paraId="62FA430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neutropenic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9C6F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3F69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88D9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6C730F74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19EB2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1D08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M/5y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AB2C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IR</w:t>
            </w:r>
          </w:p>
          <w:p w14:paraId="2D5931F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Delayed intensification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DC67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cough, tachypnea, pneumonia, pleural effusion, pancreatitis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47E6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color w:val="000000" w:themeColor="text1"/>
                <w:sz w:val="18"/>
                <w:szCs w:val="18"/>
              </w:rPr>
              <w:t>Critical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1285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</w:t>
            </w:r>
          </w:p>
          <w:p w14:paraId="1BB4F73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D6EA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4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86F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PICU / IMV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57A5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secondary diabetes</w:t>
            </w:r>
          </w:p>
        </w:tc>
      </w:tr>
      <w:tr w:rsidR="005F0B40" w:rsidRPr="00AA0D6E" w14:paraId="73AC7C94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C9A8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8F6E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M/15y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5FE5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HR</w:t>
            </w:r>
          </w:p>
          <w:p w14:paraId="69DFB09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HSCT day +1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5F62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diarrhea, headache, cough, rhinorrhea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2297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C88A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</w:t>
            </w:r>
          </w:p>
          <w:p w14:paraId="755335C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neutropenic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2D53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B0C4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E372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HSCT / No late sequelae</w:t>
            </w:r>
          </w:p>
        </w:tc>
      </w:tr>
      <w:tr w:rsidR="005F0B40" w:rsidRPr="00AA0D6E" w14:paraId="6943CA5D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436BF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5165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F/14y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65F4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IR</w:t>
            </w:r>
          </w:p>
          <w:p w14:paraId="2512A4B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Interim</w:t>
            </w:r>
          </w:p>
          <w:p w14:paraId="57463D6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627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cough, rhinorrhea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854B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6BB42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AB77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CCD5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D265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7406F839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742ED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F629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M/7y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5917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IR</w:t>
            </w:r>
          </w:p>
          <w:p w14:paraId="726B84C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At diagnosis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1F02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cough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6FFF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704A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Inpatient</w:t>
            </w:r>
          </w:p>
          <w:p w14:paraId="090AEEB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neutropenic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486C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 (standard protocol)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223E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9336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66147EF5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D86D0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9A6D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F/4y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15DD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SR</w:t>
            </w:r>
          </w:p>
          <w:p w14:paraId="4ED8F61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7466928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 xml:space="preserve">Maintenance 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0E0C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Cough, rhinorrhea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CC72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1033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59CA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8025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FBD7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5B8C59FA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75917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1AA4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M/5y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D9D3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HR</w:t>
            </w:r>
          </w:p>
          <w:p w14:paraId="51B413E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046C5A1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9D22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 xml:space="preserve">Malaise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087F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D38D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9903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DF27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C3F7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0F63CF48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4B52C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71B4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M/4y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F02E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SR</w:t>
            </w:r>
          </w:p>
          <w:p w14:paraId="149059E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00D4B20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881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cough, rhinorrhea, malaise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4E5B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DC9E5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707F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899C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DFA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17EFE954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3A6E5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65956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F/10y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E104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IR</w:t>
            </w:r>
          </w:p>
          <w:p w14:paraId="48539B6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4A7DCB4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C759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Cough, rhinorrhea, headache, rash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7823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C1EF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D14D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5D6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9AFF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2B302B78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6EC24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E1CD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M/6y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60076" w14:textId="45AEB08F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proofErr w:type="spellStart"/>
            <w:r w:rsidRPr="00AA0D6E">
              <w:rPr>
                <w:sz w:val="18"/>
                <w:szCs w:val="18"/>
              </w:rPr>
              <w:t>r</w:t>
            </w:r>
            <w:r w:rsidR="006368D4">
              <w:rPr>
                <w:sz w:val="18"/>
                <w:szCs w:val="18"/>
              </w:rPr>
              <w:t>CNS</w:t>
            </w:r>
            <w:proofErr w:type="spellEnd"/>
            <w:r w:rsidRPr="00AA0D6E">
              <w:rPr>
                <w:sz w:val="18"/>
                <w:szCs w:val="18"/>
              </w:rPr>
              <w:t xml:space="preserve">/ALL </w:t>
            </w:r>
          </w:p>
          <w:p w14:paraId="381C6EE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885E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Cough, rhinorrhea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63999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C896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F568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788D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91CB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38781EAE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065E5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1F11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F/8y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AAC3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IR</w:t>
            </w:r>
          </w:p>
          <w:p w14:paraId="16CE726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0908D0B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C8FE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Cough, rhinorrhea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9F91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6F06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2817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D22B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9D61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:rsidRPr="00AA0D6E" w14:paraId="3AA2450B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D49F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2C8AE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M/6y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98ADC" w14:textId="663F89AE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proofErr w:type="spellStart"/>
            <w:r w:rsidRPr="00AA0D6E">
              <w:rPr>
                <w:sz w:val="18"/>
                <w:szCs w:val="18"/>
              </w:rPr>
              <w:t>r</w:t>
            </w:r>
            <w:r w:rsidR="006368D4">
              <w:rPr>
                <w:sz w:val="18"/>
                <w:szCs w:val="18"/>
              </w:rPr>
              <w:t>CNS</w:t>
            </w:r>
            <w:proofErr w:type="spellEnd"/>
            <w:r w:rsidRPr="00AA0D6E">
              <w:rPr>
                <w:sz w:val="18"/>
                <w:szCs w:val="18"/>
              </w:rPr>
              <w:t xml:space="preserve">/ALL </w:t>
            </w:r>
          </w:p>
          <w:p w14:paraId="3840F6FC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FEBF4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Fever, rhinorrhea, headache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B148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CCF2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2F2C3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8118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48D02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  <w:tr w:rsidR="005F0B40" w14:paraId="15184798" w14:textId="77777777" w:rsidTr="005F0B40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F7D20" w14:textId="77777777" w:rsidR="005F0B40" w:rsidRPr="00AA0D6E" w:rsidRDefault="005F0B40" w:rsidP="005F0B40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AA0D6E">
              <w:rPr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0356D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F/13y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E79BA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ALL IR</w:t>
            </w:r>
          </w:p>
          <w:p w14:paraId="7B90BA52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Extended</w:t>
            </w:r>
          </w:p>
          <w:p w14:paraId="7A48CF40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Maintenance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3C701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Malaise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65BD7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Mild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DFEDB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Outpatient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6D06F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2 weeks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6EC22" w14:textId="77777777" w:rsidR="005F0B40" w:rsidRPr="00AA0D6E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None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DA038" w14:textId="77777777" w:rsidR="005F0B40" w:rsidRDefault="005F0B40" w:rsidP="005F0B40">
            <w:pPr>
              <w:spacing w:after="0" w:line="360" w:lineRule="auto"/>
              <w:rPr>
                <w:sz w:val="18"/>
                <w:szCs w:val="18"/>
              </w:rPr>
            </w:pPr>
            <w:r w:rsidRPr="00AA0D6E">
              <w:rPr>
                <w:sz w:val="18"/>
                <w:szCs w:val="18"/>
              </w:rPr>
              <w:t>Alive / No late sequelae</w:t>
            </w:r>
          </w:p>
        </w:tc>
      </w:tr>
    </w:tbl>
    <w:p w14:paraId="44DC2D64" w14:textId="7FC4B4C6" w:rsidR="002053E8" w:rsidRDefault="002053E8"/>
    <w:p w14:paraId="3858015F" w14:textId="4C79BE27" w:rsidR="006B427A" w:rsidRDefault="008B2FB7" w:rsidP="006B427A">
      <w:pPr>
        <w:jc w:val="both"/>
      </w:pPr>
      <w:r>
        <w:t>F: Female</w:t>
      </w:r>
    </w:p>
    <w:p w14:paraId="7580AEB7" w14:textId="4F1C5F0F" w:rsidR="008B2FB7" w:rsidRDefault="008B2FB7" w:rsidP="006B427A">
      <w:pPr>
        <w:jc w:val="both"/>
      </w:pPr>
      <w:r>
        <w:t>M: Male</w:t>
      </w:r>
    </w:p>
    <w:p w14:paraId="0E77AC8D" w14:textId="65A108D5" w:rsidR="008B2FB7" w:rsidRDefault="008B2FB7" w:rsidP="006B427A">
      <w:pPr>
        <w:jc w:val="both"/>
      </w:pPr>
      <w:r>
        <w:t>Y: Year</w:t>
      </w:r>
    </w:p>
    <w:p w14:paraId="6DDCBBC0" w14:textId="3A3B5C1F" w:rsidR="008B2FB7" w:rsidRDefault="008B2FB7" w:rsidP="006B427A">
      <w:pPr>
        <w:jc w:val="both"/>
      </w:pPr>
      <w:r>
        <w:t>ALL: Acute Lymphoblastic Leukemia</w:t>
      </w:r>
    </w:p>
    <w:p w14:paraId="1249D659" w14:textId="5241CBF3" w:rsidR="008B2FB7" w:rsidRDefault="008B2FB7" w:rsidP="006B427A">
      <w:pPr>
        <w:jc w:val="both"/>
      </w:pPr>
      <w:r>
        <w:t>SR:</w:t>
      </w:r>
      <w:r w:rsidR="003F0CDF">
        <w:t xml:space="preserve"> Standard Risk</w:t>
      </w:r>
    </w:p>
    <w:p w14:paraId="413A0404" w14:textId="6BEBEFAF" w:rsidR="003F0CDF" w:rsidRDefault="003F0CDF" w:rsidP="006B427A">
      <w:pPr>
        <w:jc w:val="both"/>
      </w:pPr>
      <w:r>
        <w:t>IR:</w:t>
      </w:r>
      <w:r>
        <w:t xml:space="preserve"> Intermediate Risk</w:t>
      </w:r>
    </w:p>
    <w:p w14:paraId="1E5A2530" w14:textId="0E857B57" w:rsidR="003F0CDF" w:rsidRDefault="008B2FB7" w:rsidP="006B427A">
      <w:pPr>
        <w:jc w:val="both"/>
      </w:pPr>
      <w:r>
        <w:t>HR:</w:t>
      </w:r>
      <w:r w:rsidR="003F0CDF">
        <w:t xml:space="preserve"> High Risk</w:t>
      </w:r>
    </w:p>
    <w:p w14:paraId="4B1FCCED" w14:textId="0B311953" w:rsidR="008B2FB7" w:rsidRDefault="008B2FB7" w:rsidP="006B427A">
      <w:pPr>
        <w:jc w:val="both"/>
      </w:pPr>
      <w:r>
        <w:t>PH+:</w:t>
      </w:r>
      <w:r w:rsidR="003F0CDF">
        <w:t xml:space="preserve"> Philadelphia chromosome positive</w:t>
      </w:r>
    </w:p>
    <w:p w14:paraId="3FDC1E74" w14:textId="266EECAA" w:rsidR="008B2FB7" w:rsidRDefault="008B2FB7" w:rsidP="006B427A">
      <w:pPr>
        <w:jc w:val="both"/>
      </w:pPr>
      <w:proofErr w:type="spellStart"/>
      <w:r>
        <w:t>r</w:t>
      </w:r>
      <w:r w:rsidR="006368D4">
        <w:t>CNS</w:t>
      </w:r>
      <w:proofErr w:type="spellEnd"/>
      <w:r>
        <w:t>:</w:t>
      </w:r>
      <w:r w:rsidR="003F0CDF">
        <w:t xml:space="preserve"> </w:t>
      </w:r>
      <w:r w:rsidR="006368D4">
        <w:t>Relapse in central nervous system</w:t>
      </w:r>
    </w:p>
    <w:p w14:paraId="193083E6" w14:textId="34F5E63B" w:rsidR="008B2FB7" w:rsidRDefault="008B2FB7" w:rsidP="006B427A">
      <w:pPr>
        <w:jc w:val="both"/>
      </w:pPr>
      <w:r>
        <w:t>TACL:</w:t>
      </w:r>
      <w:r w:rsidR="006368D4">
        <w:t xml:space="preserve"> Therapeutic Advances in Childhood Leukemia</w:t>
      </w:r>
    </w:p>
    <w:p w14:paraId="755088CC" w14:textId="79D232BB" w:rsidR="008B2FB7" w:rsidRDefault="008B2FB7" w:rsidP="006B427A">
      <w:pPr>
        <w:jc w:val="both"/>
      </w:pPr>
      <w:r>
        <w:t>PICU:</w:t>
      </w:r>
      <w:r w:rsidR="006368D4">
        <w:t xml:space="preserve"> Pediatric Intensive Care U</w:t>
      </w:r>
      <w:r w:rsidR="006368D4" w:rsidRPr="006368D4">
        <w:t>nit</w:t>
      </w:r>
    </w:p>
    <w:p w14:paraId="7591DA52" w14:textId="1CF60104" w:rsidR="008B2FB7" w:rsidRDefault="008B2FB7" w:rsidP="006B427A">
      <w:pPr>
        <w:jc w:val="both"/>
      </w:pPr>
      <w:r>
        <w:t>IMV:</w:t>
      </w:r>
      <w:r w:rsidR="006368D4">
        <w:t xml:space="preserve"> Invasive Ventilation</w:t>
      </w:r>
      <w:r w:rsidR="00586601">
        <w:t xml:space="preserve"> </w:t>
      </w:r>
      <w:proofErr w:type="spellStart"/>
      <w:r w:rsidR="00586601">
        <w:t>mecanical</w:t>
      </w:r>
      <w:proofErr w:type="spellEnd"/>
    </w:p>
    <w:p w14:paraId="049AC5CE" w14:textId="40518AC8" w:rsidR="008B2FB7" w:rsidRDefault="008B2FB7" w:rsidP="006B427A">
      <w:pPr>
        <w:jc w:val="both"/>
      </w:pPr>
      <w:r>
        <w:t>PIMS:</w:t>
      </w:r>
      <w:r w:rsidR="006368D4">
        <w:t xml:space="preserve"> </w:t>
      </w:r>
      <w:proofErr w:type="spellStart"/>
      <w:r w:rsidR="006368D4">
        <w:t>Paediatric</w:t>
      </w:r>
      <w:proofErr w:type="spellEnd"/>
      <w:r w:rsidR="006368D4">
        <w:t xml:space="preserve"> Inflammatory </w:t>
      </w:r>
      <w:proofErr w:type="spellStart"/>
      <w:r w:rsidR="006368D4">
        <w:t>Multisiytem</w:t>
      </w:r>
      <w:proofErr w:type="spellEnd"/>
      <w:r w:rsidR="006368D4">
        <w:t xml:space="preserve"> syndrome</w:t>
      </w:r>
    </w:p>
    <w:p w14:paraId="702488A6" w14:textId="7D46B42F" w:rsidR="008B2FB7" w:rsidRDefault="008B2FB7" w:rsidP="006B427A">
      <w:pPr>
        <w:jc w:val="both"/>
      </w:pPr>
      <w:r>
        <w:t>NIV:</w:t>
      </w:r>
      <w:r w:rsidR="006368D4">
        <w:t xml:space="preserve"> </w:t>
      </w:r>
      <w:r w:rsidR="006368D4" w:rsidRPr="006368D4">
        <w:t>Noninvasive Ventilation</w:t>
      </w:r>
      <w:r w:rsidR="00586601">
        <w:t xml:space="preserve"> mecanical</w:t>
      </w:r>
    </w:p>
    <w:p w14:paraId="1078B9B7" w14:textId="77777777" w:rsidR="008B2FB7" w:rsidRDefault="008B2FB7" w:rsidP="006B427A">
      <w:pPr>
        <w:jc w:val="both"/>
      </w:pPr>
    </w:p>
    <w:p w14:paraId="6A65D496" w14:textId="77777777" w:rsidR="008B2FB7" w:rsidRDefault="008B2FB7" w:rsidP="006B427A">
      <w:pPr>
        <w:jc w:val="both"/>
      </w:pPr>
    </w:p>
    <w:sectPr w:rsidR="008B2F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40"/>
    <w:rsid w:val="002053E8"/>
    <w:rsid w:val="00224C8C"/>
    <w:rsid w:val="003F0CDF"/>
    <w:rsid w:val="00586601"/>
    <w:rsid w:val="005F0B40"/>
    <w:rsid w:val="006368D4"/>
    <w:rsid w:val="0066014E"/>
    <w:rsid w:val="006926BF"/>
    <w:rsid w:val="006B427A"/>
    <w:rsid w:val="008B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67131"/>
  <w15:chartTrackingRefBased/>
  <w15:docId w15:val="{04CDBA9C-2EA9-8A44-B154-B1693624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B40"/>
    <w:pPr>
      <w:spacing w:after="160" w:line="259" w:lineRule="auto"/>
    </w:pPr>
    <w:rPr>
      <w:rFonts w:ascii="Calibri" w:eastAsia="Calibri" w:hAnsi="Calibri" w:cs="Calibri"/>
      <w:sz w:val="22"/>
      <w:szCs w:val="22"/>
      <w:lang w:val="en-U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520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ORTIZ NEIRA</dc:creator>
  <cp:keywords/>
  <dc:description/>
  <cp:lastModifiedBy>RODRIGO ORTIZ NEIRA</cp:lastModifiedBy>
  <cp:revision>9</cp:revision>
  <dcterms:created xsi:type="dcterms:W3CDTF">2021-10-05T16:41:00Z</dcterms:created>
  <dcterms:modified xsi:type="dcterms:W3CDTF">2021-10-07T16:20:00Z</dcterms:modified>
</cp:coreProperties>
</file>